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b w:val="1"/>
          <w:bCs w:val="1"/>
          <w:color w:val="202124"/>
          <w:sz w:val="48"/>
          <w:szCs w:val="48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48"/>
          <w:szCs w:val="48"/>
          <w:highlight w:val="white"/>
          <w:rtl w:val="0"/>
        </w:rPr>
        <w:t xml:space="preserve">Customer Experience Ratings Feedback (Car Insurance)</w:t>
      </w:r>
    </w:p>
    <w:p w:rsidR="00000000" w:rsidDel="00000000" w:rsidP="00000000" w:rsidRDefault="00000000" w:rsidRPr="00000000" w14:paraId="00000002">
      <w:pPr>
        <w:rPr>
          <w:rFonts w:ascii="Roboto" w:cs="Roboto" w:eastAsia="Roboto" w:hAnsi="Roboto"/>
          <w:b w:val="1"/>
          <w:bCs w:val="1"/>
          <w:color w:val="202124"/>
          <w:sz w:val="16"/>
          <w:szCs w:val="1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highlight w:val="white"/>
          <w:rtl w:val="0"/>
        </w:rPr>
        <w:t xml:space="preserve">We would like to invite you to share your opinion on our customer experience ratings methodology.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The customer experience ratings consultation period will open on 6th May 2026 and 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close to responses on 20 May 2026</w:t>
      </w: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6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br w:type="textWrapping"/>
        <w:t xml:space="preserve">While we can’t guarantee to make every change suggested, we will consider every piece of feedback – and we are always willing to discuss any concerns you have.</w:t>
        <w:br w:type="textWrapping"/>
        <w:br w:type="textWrapping"/>
        <w:t xml:space="preserve">This is for feedback on the customer experience ratings in general, not on your specific brand’s scores - if you have a query about the data relating to your brand, please contact us at </w:t>
      </w:r>
      <w:hyperlink r:id="rId7">
        <w:r w:rsidDel="00000000" w:rsidR="00000000" w:rsidRPr="00000000">
          <w:rPr>
            <w:rFonts w:ascii="Roboto" w:cs="Roboto" w:eastAsia="Roboto" w:hAnsi="Roboto"/>
            <w:color w:val="1155cc"/>
            <w:sz w:val="24"/>
            <w:szCs w:val="24"/>
            <w:u w:val="single"/>
            <w:rtl w:val="0"/>
          </w:rPr>
          <w:t xml:space="preserve">corporate@fairerfinance.com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Name:</w:t>
      </w:r>
    </w:p>
    <w:p w:rsidR="00000000" w:rsidDel="00000000" w:rsidP="00000000" w:rsidRDefault="00000000" w:rsidRPr="00000000" w14:paraId="00000009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Company name:</w:t>
      </w:r>
    </w:p>
    <w:p w:rsidR="00000000" w:rsidDel="00000000" w:rsidP="00000000" w:rsidRDefault="00000000" w:rsidRPr="00000000" w14:paraId="0000000B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Job title:</w:t>
      </w:r>
    </w:p>
    <w:p w:rsidR="00000000" w:rsidDel="00000000" w:rsidP="00000000" w:rsidRDefault="00000000" w:rsidRPr="00000000" w14:paraId="0000000D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Below are the components of our customer experience ratings:</w:t>
      </w:r>
    </w:p>
    <w:p w:rsidR="00000000" w:rsidDel="00000000" w:rsidP="00000000" w:rsidRDefault="00000000" w:rsidRPr="00000000" w14:paraId="0000000F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40" w:lineRule="auto"/>
        <w:ind w:left="720" w:hanging="360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Customer satisfaction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Customer trust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40" w:lineRule="auto"/>
        <w:ind w:left="720" w:hanging="360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Complaints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40" w:lineRule="auto"/>
        <w:ind w:left="720" w:hanging="360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Transparency</w:t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Customer satisfaction and trust and measured by polling respondents through our fieldwork partners. We survey 10,000 respondents twice a year to gather this data. </w:t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Complaints scores are calculated by looking at the proportion of complaints upheld against a provider by the Financial Ombudsman Service (the lower the percentage of complaints upheld, the higher the complaints score).</w:t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Transparency scores are based on our assessment of the clarity of providers’ online journeys and documents. The full methodology for transparency in this sector is outlined below.</w:t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If you think any of these criteria are inappropriate, or if you think we are missing any relevant criteria, please explain why in the box below. </w: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447358</wp:posOffset>
                </wp:positionV>
                <wp:extent cx="5753100" cy="1075772"/>
                <wp:effectExtent b="0" l="0" r="0" t="0"/>
                <wp:wrapSquare wrapText="bothSides" distB="45720" distT="45720" distL="114300" distR="11430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488500" y="2136938"/>
                          <a:ext cx="5715000" cy="328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447358</wp:posOffset>
                </wp:positionV>
                <wp:extent cx="5753100" cy="1075772"/>
                <wp:effectExtent b="0" l="0" r="0" t="0"/>
                <wp:wrapSquare wrapText="bothSides" distB="45720" distT="45720" distL="114300" distR="114300"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3100" cy="107577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C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Below are our criteria for assessing the transparency of a car insurance policy purchase journey. Please tick all criteria you consider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u w:val="single"/>
          <w:rtl w:val="0"/>
        </w:rPr>
        <w:t xml:space="preserve">inappropriate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050428776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Add-ons must be offered clearly and explained.</w:t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902465428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Add-ons must be incorporated into the price, either by picking them before the initial quote or by the quote price automatically updating when the add-on is picked.</w:t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246085075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Excesses must be itemised and explained.</w:t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649000836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policy’s main covers limits and exclusions must be clearly displayed and explained.</w:t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245256961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Applicants must be given an open and clear choice being paying monthly and annually.</w:t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606897951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interest rates/charges for paying monthly must be clearly displayed.</w:t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Roboto" w:cs="Roboto" w:eastAsia="Roboto" w:hAnsi="Roboto"/>
          <w:sz w:val="24"/>
          <w:szCs w:val="24"/>
        </w:rPr>
      </w:pPr>
      <w:sdt>
        <w:sdtPr>
          <w:id w:val="-669014998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terms of when courtesy cars are provided must be clearly displayed and explained.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914554391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Any fees must be clearly stated.</w:t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397194774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IPID must be easy to access and must contain information on key cover limits.</w:t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Quattrocento Sans" w:cs="Quattrocento Sans" w:eastAsia="Quattrocento Sans" w:hAnsi="Quattrocento Sans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722287784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policy document must be easy to access.</w:t>
      </w:r>
    </w:p>
    <w:p w:rsidR="00000000" w:rsidDel="00000000" w:rsidP="00000000" w:rsidRDefault="00000000" w:rsidRPr="00000000" w14:paraId="00000033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695546876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Applicants cannot be opted into data consent.</w:t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Roboto" w:cs="Roboto" w:eastAsia="Roboto" w:hAnsi="Roboto"/>
          <w:sz w:val="24"/>
          <w:szCs w:val="24"/>
        </w:rPr>
      </w:pPr>
      <w:sdt>
        <w:sdtPr>
          <w:id w:val="1450738921"/>
          <w:tag w:val="goog_rdk_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  Auto-renewal must be clearly explained and be simple to opt out of</w:t>
          </w:r>
        </w:sdtContent>
      </w:sdt>
    </w:p>
    <w:p w:rsidR="00000000" w:rsidDel="00000000" w:rsidP="00000000" w:rsidRDefault="00000000" w:rsidRPr="00000000" w14:paraId="00000037">
      <w:pPr>
        <w:spacing w:after="0"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Roboto" w:cs="Roboto" w:eastAsia="Roboto" w:hAnsi="Roboto"/>
          <w:sz w:val="24"/>
          <w:szCs w:val="24"/>
        </w:rPr>
      </w:pPr>
      <w:sdt>
        <w:sdtPr>
          <w:id w:val="-858058055"/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 The quote process must allow a full range of pronoun opt</w:t>
          </w:r>
        </w:sdtContent>
      </w:sdt>
    </w:p>
    <w:p w:rsidR="00000000" w:rsidDel="00000000" w:rsidP="00000000" w:rsidRDefault="00000000" w:rsidRPr="00000000" w14:paraId="00000039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2030144478"/>
          <w:tag w:val="goog_rdk_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website must use short, simple words. To get full marks, the average word should be five letters or shorter, and there should be no overly complicated words.</w:t>
      </w:r>
    </w:p>
    <w:p w:rsidR="00000000" w:rsidDel="00000000" w:rsidP="00000000" w:rsidRDefault="00000000" w:rsidRPr="00000000" w14:paraId="0000003B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625631256"/>
          <w:tag w:val="goog_rdk_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All the text on the website should be in a large enough font to read easily. The highest marks are awarded if the smallest font on the website is at least 18 pixels (or 13.5 point).</w:t>
      </w:r>
    </w:p>
    <w:p w:rsidR="00000000" w:rsidDel="00000000" w:rsidP="00000000" w:rsidRDefault="00000000" w:rsidRPr="00000000" w14:paraId="0000003D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897993132"/>
          <w:tag w:val="goog_rdk_1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The website should be adaptable to mobile devices.</w:t>
      </w:r>
    </w:p>
    <w:p w:rsidR="00000000" w:rsidDel="00000000" w:rsidP="00000000" w:rsidRDefault="00000000" w:rsidRPr="00000000" w14:paraId="0000003F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68256184"/>
          <w:tag w:val="goog_rdk_1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Web pages are assessed against the World Wide Web Consortium's (W3C) accessibility guidelines (WCAG 2.1 which can be found on 3wc.org) using SortSite (https://www.powermapper.com/products/sortsite/checks/accessibility-checks/). Violations of these guidelines – such as colour contrast issues or the absence of alternative text - cost points. </w:t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013534223"/>
          <w:tag w:val="goog_rdk_1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A provider must make their customer service number clear on the contact page and product journey.</w:t>
      </w:r>
    </w:p>
    <w:p w:rsidR="00000000" w:rsidDel="00000000" w:rsidP="00000000" w:rsidRDefault="00000000" w:rsidRPr="00000000" w14:paraId="00000043">
      <w:pPr>
        <w:spacing w:after="0" w:line="240" w:lineRule="auto"/>
        <w:rPr>
          <w:rFonts w:ascii="Roboto" w:cs="Roboto" w:eastAsia="Roboto" w:hAnsi="Roboto"/>
          <w:color w:val="21252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469925885"/>
          <w:tag w:val="goog_rdk_1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Customers must be able to chat directly to a human customer service agent via a webchat.</w:t>
      </w:r>
    </w:p>
    <w:p w:rsidR="00000000" w:rsidDel="00000000" w:rsidP="00000000" w:rsidRDefault="00000000" w:rsidRPr="00000000" w14:paraId="00000045">
      <w:pPr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168847262"/>
          <w:tag w:val="goog_rdk_1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Vulnerable customers must be able to access information on financial support</w:t>
      </w:r>
    </w:p>
    <w:p w:rsidR="00000000" w:rsidDel="00000000" w:rsidP="00000000" w:rsidRDefault="00000000" w:rsidRPr="00000000" w14:paraId="00000046">
      <w:pPr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1182696503"/>
          <w:tag w:val="goog_rdk_2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Customers must be able to put the pronoun of their choosing </w:t>
      </w:r>
    </w:p>
    <w:p w:rsidR="00000000" w:rsidDel="00000000" w:rsidP="00000000" w:rsidRDefault="00000000" w:rsidRPr="00000000" w14:paraId="00000047">
      <w:pPr>
        <w:rPr>
          <w:rFonts w:ascii="Roboto" w:cs="Roboto" w:eastAsia="Roboto" w:hAnsi="Roboto"/>
          <w:color w:val="212529"/>
          <w:sz w:val="24"/>
          <w:szCs w:val="24"/>
        </w:rPr>
      </w:pPr>
      <w:sdt>
        <w:sdtPr>
          <w:id w:val="-1196740398"/>
          <w:tag w:val="goog_rdk_2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12529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12529"/>
          <w:sz w:val="24"/>
          <w:szCs w:val="24"/>
          <w:rtl w:val="0"/>
        </w:rPr>
        <w:t xml:space="preserve">  Customers buying insurance via premium finance must have the APR clear and the consequences of missed payments made clear</w:t>
      </w:r>
    </w:p>
    <w:p w:rsidR="00000000" w:rsidDel="00000000" w:rsidP="00000000" w:rsidRDefault="00000000" w:rsidRPr="00000000" w14:paraId="00000048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If you said any of these criteria were inappropriate, or if you think we are missing any relevant criteria, please explain why in the box below.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396558</wp:posOffset>
                </wp:positionV>
                <wp:extent cx="5791200" cy="2417370"/>
                <wp:effectExtent b="0" l="0" r="0" t="0"/>
                <wp:wrapSquare wrapText="bothSides" distB="45720" distT="4572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488500" y="2136938"/>
                          <a:ext cx="5715000" cy="328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396558</wp:posOffset>
                </wp:positionV>
                <wp:extent cx="5791200" cy="2417370"/>
                <wp:effectExtent b="0" l="0" r="0" t="0"/>
                <wp:wrapSquare wrapText="bothSides" distB="45720" distT="45720" distL="114300" distR="11430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91200" cy="24173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9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Below are the criteria we use for assessing a provider’s terms and conditions.  Please tick all criteria you consider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u w:val="single"/>
          <w:rtl w:val="0"/>
        </w:rPr>
        <w:t xml:space="preserve">inappropriate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1893007206"/>
          <w:tag w:val="goog_rdk_2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number of words should not be excessive.</w:t>
      </w:r>
    </w:p>
    <w:p w:rsidR="00000000" w:rsidDel="00000000" w:rsidP="00000000" w:rsidRDefault="00000000" w:rsidRPr="00000000" w14:paraId="0000004D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1760800882"/>
          <w:tag w:val="goog_rdk_2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There should not be too many words per page.</w:t>
      </w:r>
    </w:p>
    <w:p w:rsidR="00000000" w:rsidDel="00000000" w:rsidP="00000000" w:rsidRDefault="00000000" w:rsidRPr="00000000" w14:paraId="0000004F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1272516569"/>
          <w:tag w:val="goog_rdk_2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reading grade should be 8 or lower.</w:t>
      </w:r>
    </w:p>
    <w:p w:rsidR="00000000" w:rsidDel="00000000" w:rsidP="00000000" w:rsidRDefault="00000000" w:rsidRPr="00000000" w14:paraId="00000051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605918679"/>
          <w:tag w:val="goog_rdk_2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There should be minimal jargon.</w:t>
      </w:r>
    </w:p>
    <w:p w:rsidR="00000000" w:rsidDel="00000000" w:rsidP="00000000" w:rsidRDefault="00000000" w:rsidRPr="00000000" w14:paraId="00000053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1893385316"/>
          <w:tag w:val="goog_rdk_2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document should have a well-designed table of contents. </w:t>
      </w:r>
    </w:p>
    <w:p w:rsidR="00000000" w:rsidDel="00000000" w:rsidP="00000000" w:rsidRDefault="00000000" w:rsidRPr="00000000" w14:paraId="00000055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962719206"/>
          <w:tag w:val="goog_rdk_2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document should not use complicated inter-references. </w:t>
      </w:r>
    </w:p>
    <w:p w:rsidR="00000000" w:rsidDel="00000000" w:rsidP="00000000" w:rsidRDefault="00000000" w:rsidRPr="00000000" w14:paraId="00000057">
      <w:pPr>
        <w:shd w:fill="ffffff" w:val="clear"/>
        <w:spacing w:after="0" w:line="240" w:lineRule="auto"/>
        <w:jc w:val="both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-172341989"/>
          <w:tag w:val="goog_rdk_2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document should use colour effectively. </w:t>
      </w:r>
    </w:p>
    <w:p w:rsidR="00000000" w:rsidDel="00000000" w:rsidP="00000000" w:rsidRDefault="00000000" w:rsidRPr="00000000" w14:paraId="00000059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sdt>
        <w:sdtPr>
          <w:id w:val="159343893"/>
          <w:tag w:val="goog_rdk_2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202124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Roboto" w:cs="Roboto" w:eastAsia="Roboto" w:hAnsi="Roboto"/>
          <w:color w:val="202124"/>
          <w:sz w:val="24"/>
          <w:szCs w:val="24"/>
          <w:rtl w:val="0"/>
        </w:rPr>
        <w:t xml:space="preserve">  The font size must be sufficiently large.</w:t>
      </w:r>
    </w:p>
    <w:p w:rsidR="00000000" w:rsidDel="00000000" w:rsidP="00000000" w:rsidRDefault="00000000" w:rsidRPr="00000000" w14:paraId="0000005B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hd w:fill="ffffff" w:val="clear"/>
        <w:spacing w:after="0" w:line="240" w:lineRule="auto"/>
        <w:rPr>
          <w:rFonts w:ascii="Roboto" w:cs="Roboto" w:eastAsia="Roboto" w:hAnsi="Roboto"/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202124"/>
          <w:sz w:val="24"/>
          <w:szCs w:val="24"/>
          <w:rtl w:val="0"/>
        </w:rPr>
        <w:t xml:space="preserve">If you said any of these criteria were inappropriate, or if you think we are missing any relevant criteria, please explain why in the box below.</w: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396558</wp:posOffset>
                </wp:positionV>
                <wp:extent cx="5791200" cy="3352800"/>
                <wp:effectExtent b="0" l="0" r="0" t="0"/>
                <wp:wrapSquare wrapText="bothSides" distB="45720" distT="45720" distL="114300" distR="11430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488500" y="2141700"/>
                          <a:ext cx="5715000" cy="327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7940</wp:posOffset>
                </wp:positionH>
                <wp:positionV relativeFrom="paragraph">
                  <wp:posOffset>396558</wp:posOffset>
                </wp:positionV>
                <wp:extent cx="5791200" cy="3352800"/>
                <wp:effectExtent b="0" l="0" r="0" t="0"/>
                <wp:wrapSquare wrapText="bothSides" distB="45720" distT="45720" distL="114300" distR="114300"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91200" cy="3352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E">
      <w:pPr>
        <w:shd w:fill="ffffff" w:val="clear"/>
        <w:spacing w:after="0" w:line="240" w:lineRule="auto"/>
        <w:rPr>
          <w:rFonts w:ascii="Roboto" w:cs="Roboto" w:eastAsia="Roboto" w:hAnsi="Roboto"/>
          <w:color w:val="202124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Quattrocento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00000"/>
        <w:sz w:val="8"/>
        <w:szCs w:val="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Roboto" w:cs="Roboto" w:eastAsia="Roboto" w:hAnsi="Roboto"/>
        <w:b w:val="0"/>
        <w:bCs w:val="0"/>
        <w:i w:val="0"/>
        <w:iCs w:val="0"/>
        <w:smallCaps w:val="0"/>
        <w:strike w:val="0"/>
        <w:color w:val="000000"/>
        <w:sz w:val="8"/>
        <w:szCs w:val="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1463675</wp:posOffset>
          </wp:positionH>
          <wp:positionV relativeFrom="paragraph">
            <wp:posOffset>-388612</wp:posOffset>
          </wp:positionV>
          <wp:extent cx="2804160" cy="789738"/>
          <wp:effectExtent b="0" l="0" r="0" t="0"/>
          <wp:wrapNone/>
          <wp:docPr descr="Graphical user interface, website&#10;&#10;Description automatically generated" id="4" name="image1.png"/>
          <a:graphic>
            <a:graphicData uri="http://schemas.openxmlformats.org/drawingml/2006/picture">
              <pic:pic>
                <pic:nvPicPr>
                  <pic:cNvPr descr="Graphical user interface, website&#10;&#10;Description automatically generated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04160" cy="78973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orporate@fairerfinance.com" TargetMode="External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QuattrocentoSans-regular.ttf"/><Relationship Id="rId6" Type="http://schemas.openxmlformats.org/officeDocument/2006/relationships/font" Target="fonts/QuattrocentoSans-bold.ttf"/><Relationship Id="rId7" Type="http://schemas.openxmlformats.org/officeDocument/2006/relationships/font" Target="fonts/QuattrocentoSans-italic.ttf"/><Relationship Id="rId8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xFzFGhfbjHfyitz5fbYIpNKmi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