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  <w:rtl w:val="0"/>
        </w:rPr>
        <w:t xml:space="preserve">Customer Experience Ratings Feedback (Home Insurance)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  <w:color w:val="202124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We would like to invite you to share your opinion on our customer experience ratings methodology.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The customer experience ratings consultation period will open on  6th May 2026 and 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closes to responses on 20 May 2026</w:t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br w:type="textWrapping"/>
        <w:t xml:space="preserve">While we can’t guarantee to make every change suggested, we will consider every piece of feedback – and we are always willing to discuss any concerns you have.</w:t>
        <w:br w:type="textWrapping"/>
        <w:br w:type="textWrapping"/>
        <w:t xml:space="preserve">This is for feedback on the customer experience ratings in general, not on your specific brand’s scores - if you have a query about the data relating to your brand, please contact us at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corporate@fairerfinance.com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Company name:</w:t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Job title:</w:t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components of our customer experience ratings:</w:t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trust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 and trust and measured by polling respondents through our fieldwork partners. We survey 10,000 respondents twice a year to gather this data. 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 scores are calculated by looking at the proportion of complaints upheld against a provider by the Financial Ombudsman Service (the lower the percentage of complaints upheld, the higher the complaints score).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 scores are based on our assessment of the clarity of providers’ online journeys and documents. The full methodology for transparency in this sector is outlined below.</w:t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think any of these criteria are inappropriate, or if you think we are missing any relevant criteria, please explain why in the box below.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3100" cy="10757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our criteria for assessing the transparency of a home insurance policy purchase journey.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sdt>
        <w:sdtPr>
          <w:id w:val="110139725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Home Legal cover must be offered clearly, with a simple yes/no choice. The product should be explained in plain language so customers can make an informed decision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sdt>
        <w:sdtPr>
          <w:id w:val="623850887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 Home Emergency cover must be offered clearly, with a straightforward yes/no choice for the customer. Providers should explain the product in plain terms and ask needs-based questions to assess whether it is suitable for the customer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781631936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Add-ons must be incorporated into the price, either by picking them before the initial quote or by the quote price automatically updating when the add-on is picked.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005582779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Excesses must be itemised and explained.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632242711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policy’s main covers and exclusions must be clearly displayed and explained.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546144270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must not be automatically opted in to paying monthly.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861081579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interest rates/charges for paying monthly must be clearly displayed.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559707628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effects of wear and tear must be made clear with a clear explanation and    example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686827866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It must be made clear whether matching sets will be replaced.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2143901302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 Premium finance costs and risks must be clearly explained before purchase, including APR, fees, and consequences of missed payments.</w:t>
          </w:r>
        </w:sdtContent>
      </w:sdt>
    </w:p>
    <w:p w:rsidR="00000000" w:rsidDel="00000000" w:rsidP="00000000" w:rsidRDefault="00000000" w:rsidRPr="00000000" w14:paraId="0000003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877348472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Any fees and charges must be itemised and explained on the main page and in the policy booklet.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097163447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IPID must be easy to access and must contain information on key cover limits.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88156858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 document must be easy to access.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672358176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cannot be opted into data consent.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815693978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Auto-renewal must be clearly explained.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247069655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terms and conditions must be easy to access.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238812192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must use short, simple words. To get full marks, the average word should be five letters or shorter, and there should be no overly complicated words.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208640798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All the text on the website should be in a large enough font to read easily. The highest marks are awarded if the smallest font on the website is at least 18 pixels (or 13.5 point).</w:t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155912605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should be adaptable to mobile devices.</w:t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385373909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Web pages are assessed against the World Wide Web Consortium's (W3C) accessibility guidelines (WCAG 2.1 which can be found on 3wc.org) using SortSite (https://www.powermapper.com/products/sortsite/checks/accessibility-checks/). Violations of these guidelines – such as colour contrast issues or the absence of alternative text - cost points. 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914677191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 If a provider has a customer service number that will charge the consumer, then this must be made clear on the contact page.</w:t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997841372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chat directly to a human customer service agent via a webchat.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383858</wp:posOffset>
                </wp:positionV>
                <wp:extent cx="5800725" cy="242689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383858</wp:posOffset>
                </wp:positionV>
                <wp:extent cx="5800725" cy="2426895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0725" cy="2426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criteria we use for assessing a provider’s terms and conditions. 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337252410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number of words should not be excessive.</w:t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956365198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not be too many words per page.</w:t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155054760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reading grade should be 8 or lower.</w:t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782267731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be minimal jargon.</w:t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453083071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have a well-designed table of contents. </w:t>
      </w:r>
    </w:p>
    <w:p w:rsidR="00000000" w:rsidDel="00000000" w:rsidP="00000000" w:rsidRDefault="00000000" w:rsidRPr="00000000" w14:paraId="0000005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404426843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not use complicated inter-references. </w:t>
      </w:r>
    </w:p>
    <w:p w:rsidR="00000000" w:rsidDel="00000000" w:rsidP="00000000" w:rsidRDefault="00000000" w:rsidRPr="00000000" w14:paraId="0000005D">
      <w:pPr>
        <w:shd w:fill="ffffff" w:val="clear"/>
        <w:spacing w:after="0" w:line="240" w:lineRule="auto"/>
        <w:jc w:val="both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550490363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use colour effectively. </w:t>
      </w:r>
    </w:p>
    <w:p w:rsidR="00000000" w:rsidDel="00000000" w:rsidP="00000000" w:rsidRDefault="00000000" w:rsidRPr="00000000" w14:paraId="0000005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214250864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font size must be sufficiently large.</w:t>
      </w:r>
    </w:p>
    <w:p w:rsidR="00000000" w:rsidDel="00000000" w:rsidP="00000000" w:rsidRDefault="00000000" w:rsidRPr="00000000" w14:paraId="0000006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</w:p>
    <w:p w:rsidR="00000000" w:rsidDel="00000000" w:rsidP="00000000" w:rsidRDefault="00000000" w:rsidRPr="00000000" w14:paraId="00000064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58740</wp:posOffset>
                </wp:positionH>
                <wp:positionV relativeFrom="paragraph">
                  <wp:posOffset>40959</wp:posOffset>
                </wp:positionV>
                <wp:extent cx="5800725" cy="3362325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88500" y="2141700"/>
                          <a:ext cx="57150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58740</wp:posOffset>
                </wp:positionH>
                <wp:positionV relativeFrom="paragraph">
                  <wp:posOffset>40959</wp:posOffset>
                </wp:positionV>
                <wp:extent cx="5800725" cy="3362325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0725" cy="3362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1463675</wp:posOffset>
          </wp:positionH>
          <wp:positionV relativeFrom="paragraph">
            <wp:posOffset>-388610</wp:posOffset>
          </wp:positionV>
          <wp:extent cx="2804160" cy="789738"/>
          <wp:effectExtent b="0" l="0" r="0" t="0"/>
          <wp:wrapNone/>
          <wp:docPr descr="Graphical user interface, website&#10;&#10;Description automatically generated" id="4" name="image1.png"/>
          <a:graphic>
            <a:graphicData uri="http://schemas.openxmlformats.org/drawingml/2006/picture">
              <pic:pic>
                <pic:nvPicPr>
                  <pic:cNvPr descr="Graphical user interface, website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04160" cy="789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rporate@fairerfinance.com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xK1EOFPiMJwzm+ImqU61rwz8dg==">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zgAciExWTE1U1laWWxfVzFETGNvaEU4TS1EZ1lHRzNjM1M1VW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