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b w:val="1"/>
          <w:bCs w:val="1"/>
          <w:color w:val="202124"/>
          <w:sz w:val="48"/>
          <w:szCs w:val="48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48"/>
          <w:szCs w:val="48"/>
          <w:highlight w:val="white"/>
          <w:rtl w:val="0"/>
        </w:rPr>
        <w:t xml:space="preserve">Customer Experience Ratings Feedback (Private Medical Insurance)</w:t>
      </w:r>
    </w:p>
    <w:p w:rsidR="00000000" w:rsidDel="00000000" w:rsidP="00000000" w:rsidRDefault="00000000" w:rsidRPr="00000000" w14:paraId="00000002">
      <w:pPr>
        <w:rPr>
          <w:rFonts w:ascii="Roboto" w:cs="Roboto" w:eastAsia="Roboto" w:hAnsi="Roboto"/>
          <w:b w:val="1"/>
          <w:bCs w:val="1"/>
          <w:color w:val="202124"/>
          <w:sz w:val="16"/>
          <w:szCs w:val="1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highlight w:val="white"/>
          <w:rtl w:val="0"/>
        </w:rPr>
        <w:t xml:space="preserve">We would like to invite you to share your opinion on our customer experience ratings methodology.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The customer experience ratings consultation period will open on  6th May 2026 and 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closes to responses on 20 May 2026</w:t>
      </w: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.  </w:t>
      </w:r>
    </w:p>
    <w:p w:rsidR="00000000" w:rsidDel="00000000" w:rsidP="00000000" w:rsidRDefault="00000000" w:rsidRPr="00000000" w14:paraId="00000006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br w:type="textWrapping"/>
        <w:t xml:space="preserve">While we can’t guarantee to make every change suggested, we will consider every piece of feedback – and we are always willing to discuss any concerns you have.</w:t>
        <w:br w:type="textWrapping"/>
        <w:br w:type="textWrapping"/>
        <w:t xml:space="preserve">This is for feedback on the customer experience ratings in general, not on your specific brand’s scores - if you have a query about the data relating to your brand, please contact us at </w:t>
      </w:r>
      <w:hyperlink r:id="rId7">
        <w:r w:rsidDel="00000000" w:rsidR="00000000" w:rsidRPr="00000000">
          <w:rPr>
            <w:rFonts w:ascii="Roboto" w:cs="Roboto" w:eastAsia="Roboto" w:hAnsi="Roboto"/>
            <w:color w:val="1155cc"/>
            <w:sz w:val="24"/>
            <w:szCs w:val="24"/>
            <w:u w:val="single"/>
            <w:rtl w:val="0"/>
          </w:rPr>
          <w:t xml:space="preserve">corporate@fairerfinance.com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Name:</w:t>
      </w:r>
    </w:p>
    <w:p w:rsidR="00000000" w:rsidDel="00000000" w:rsidP="00000000" w:rsidRDefault="00000000" w:rsidRPr="00000000" w14:paraId="00000009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Company name:</w:t>
      </w:r>
    </w:p>
    <w:p w:rsidR="00000000" w:rsidDel="00000000" w:rsidP="00000000" w:rsidRDefault="00000000" w:rsidRPr="00000000" w14:paraId="0000000B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Job title:</w:t>
      </w:r>
    </w:p>
    <w:p w:rsidR="00000000" w:rsidDel="00000000" w:rsidP="00000000" w:rsidRDefault="00000000" w:rsidRPr="00000000" w14:paraId="0000000D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Below are the components of our customer experience ratings:</w:t>
      </w:r>
    </w:p>
    <w:p w:rsidR="00000000" w:rsidDel="00000000" w:rsidP="00000000" w:rsidRDefault="00000000" w:rsidRPr="00000000" w14:paraId="0000000F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="240" w:lineRule="auto"/>
        <w:ind w:left="720" w:hanging="360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Customer satisfaction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40" w:lineRule="auto"/>
        <w:ind w:left="720" w:hanging="360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Customer trust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="240" w:lineRule="auto"/>
        <w:ind w:left="720" w:hanging="360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Complaints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="240" w:lineRule="auto"/>
        <w:ind w:left="720" w:hanging="360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Transparency</w:t>
      </w:r>
    </w:p>
    <w:p w:rsidR="00000000" w:rsidDel="00000000" w:rsidP="00000000" w:rsidRDefault="00000000" w:rsidRPr="00000000" w14:paraId="00000014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Customer satisfaction and trust and measured by polling respondents through our fieldwork partners. We survey 10,000 respondents twice a year to gather this data. </w:t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Complaints scores are calculated by looking at the proportion of complaints upheld against a provider by the Financial Ombudsman Service (the lower the percentage of complaints upheld, the higher the complaints score).</w:t>
      </w:r>
    </w:p>
    <w:p w:rsidR="00000000" w:rsidDel="00000000" w:rsidP="00000000" w:rsidRDefault="00000000" w:rsidRPr="00000000" w14:paraId="00000018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Transparency scores are based on our assessment of the clarity of providers’ online journeys and documents. The full methodology for transparency in this sector is outlined below.</w:t>
      </w:r>
    </w:p>
    <w:p w:rsidR="00000000" w:rsidDel="00000000" w:rsidP="00000000" w:rsidRDefault="00000000" w:rsidRPr="00000000" w14:paraId="0000001A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If you think any of these criteria are inappropriate, or if you think we are missing any relevant criteria, please explain why in the box below. </w: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7940</wp:posOffset>
                </wp:positionH>
                <wp:positionV relativeFrom="paragraph">
                  <wp:posOffset>434658</wp:posOffset>
                </wp:positionV>
                <wp:extent cx="5762625" cy="1085297"/>
                <wp:effectExtent b="0" l="0" r="0" t="0"/>
                <wp:wrapSquare wrapText="bothSides" distB="45720" distT="45720" distL="114300" distR="11430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488500" y="2136938"/>
                          <a:ext cx="5715000" cy="3286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7940</wp:posOffset>
                </wp:positionH>
                <wp:positionV relativeFrom="paragraph">
                  <wp:posOffset>434658</wp:posOffset>
                </wp:positionV>
                <wp:extent cx="5762625" cy="1085297"/>
                <wp:effectExtent b="0" l="0" r="0" t="0"/>
                <wp:wrapSquare wrapText="bothSides" distB="45720" distT="45720" distL="114300" distR="114300"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62625" cy="108529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C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Below are our criteria for assessing the transparency of a private medical insurance purchase journey. Please tick all criteria you consider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u w:val="single"/>
          <w:rtl w:val="0"/>
        </w:rPr>
        <w:t xml:space="preserve">inappropriate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915200345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Providers should explain that annual premiums may rise over time</w:t>
      </w:r>
    </w:p>
    <w:p w:rsidR="00000000" w:rsidDel="00000000" w:rsidP="00000000" w:rsidRDefault="00000000" w:rsidRPr="00000000" w14:paraId="00000021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1107812689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It must be explained why health questions (e.g. smoking) are asked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724200274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Hospital options are presented clearly and fairly</w:t>
      </w:r>
    </w:p>
    <w:p w:rsidR="00000000" w:rsidDel="00000000" w:rsidP="00000000" w:rsidRDefault="00000000" w:rsidRPr="00000000" w14:paraId="00000025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331712566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Any add-ons are offered clearly and fairly</w:t>
      </w:r>
    </w:p>
    <w:p w:rsidR="00000000" w:rsidDel="00000000" w:rsidP="00000000" w:rsidRDefault="00000000" w:rsidRPr="00000000" w14:paraId="00000027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645424784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Must be made clear that pre-existing conditions may not be covered</w:t>
      </w:r>
    </w:p>
    <w:p w:rsidR="00000000" w:rsidDel="00000000" w:rsidP="00000000" w:rsidRDefault="00000000" w:rsidRPr="00000000" w14:paraId="00000029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1981325794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Excesses are clearly explained</w:t>
      </w:r>
    </w:p>
    <w:p w:rsidR="00000000" w:rsidDel="00000000" w:rsidP="00000000" w:rsidRDefault="00000000" w:rsidRPr="00000000" w14:paraId="0000002B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760570526"/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In-patient and out-patient cover limits are made clear</w:t>
      </w:r>
    </w:p>
    <w:p w:rsidR="00000000" w:rsidDel="00000000" w:rsidP="00000000" w:rsidRDefault="00000000" w:rsidRPr="00000000" w14:paraId="0000002D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1122917683"/>
          <w:tag w:val="goog_rdk_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No claims discounts must be clearly explained and how making claims affects premiums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1440277792"/>
          <w:tag w:val="goog_rdk_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The IPID must be easy to access and must contain information on key cover limits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1482210852"/>
          <w:tag w:val="goog_rdk_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Customers must not be automatically opted in to data consent</w:t>
      </w:r>
    </w:p>
    <w:p w:rsidR="00000000" w:rsidDel="00000000" w:rsidP="00000000" w:rsidRDefault="00000000" w:rsidRPr="00000000" w14:paraId="00000033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425086395"/>
          <w:tag w:val="goog_rdk_1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Policy documents must</w:t>
      </w: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be easy to access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114703714"/>
          <w:tag w:val="goog_rdk_1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website must use short, simple words. To get full marks, the average word should be five letters or shorter, and there should be no overly complicated words.</w:t>
      </w:r>
    </w:p>
    <w:p w:rsidR="00000000" w:rsidDel="00000000" w:rsidP="00000000" w:rsidRDefault="00000000" w:rsidRPr="00000000" w14:paraId="00000037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1304569579"/>
          <w:tag w:val="goog_rdk_1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All the text on the website should be in a large enough font to read easily. The highest marks are awarded if the smallest font on the website is at least 18 pixels (or 13.5 point).</w:t>
      </w:r>
    </w:p>
    <w:p w:rsidR="00000000" w:rsidDel="00000000" w:rsidP="00000000" w:rsidRDefault="00000000" w:rsidRPr="00000000" w14:paraId="00000039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1370891971"/>
          <w:tag w:val="goog_rdk_1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website should be adaptable to mobile devices</w:t>
      </w:r>
    </w:p>
    <w:p w:rsidR="00000000" w:rsidDel="00000000" w:rsidP="00000000" w:rsidRDefault="00000000" w:rsidRPr="00000000" w14:paraId="0000003B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1417709624"/>
          <w:tag w:val="goog_rdk_1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Web pages are assessed against the World Wide Web Consortium's (W3C) accessibility guidelines (WCAG 2.1 which can be found on 3wc.org) using SortSite (https://www.powermapper.com/products/sortsite/checks/accessibility-checks/). Violations of these guidelines – such as colour contrast issues or the absence of alternative text - cost points </w:t>
      </w:r>
    </w:p>
    <w:p w:rsidR="00000000" w:rsidDel="00000000" w:rsidP="00000000" w:rsidRDefault="00000000" w:rsidRPr="00000000" w14:paraId="0000003D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758995718"/>
          <w:tag w:val="goog_rdk_1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A provider must make their customer service number clear on the contact page and product journey.</w:t>
      </w:r>
    </w:p>
    <w:p w:rsidR="00000000" w:rsidDel="00000000" w:rsidP="00000000" w:rsidRDefault="00000000" w:rsidRPr="00000000" w14:paraId="0000003F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1062467703"/>
          <w:tag w:val="goog_rdk_1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Customers must be able to chat directly to a human customer service agent via a webchat</w:t>
      </w:r>
    </w:p>
    <w:p w:rsidR="00000000" w:rsidDel="00000000" w:rsidP="00000000" w:rsidRDefault="00000000" w:rsidRPr="00000000" w14:paraId="00000041">
      <w:pPr>
        <w:spacing w:after="0" w:line="240" w:lineRule="auto"/>
        <w:rPr>
          <w:rFonts w:ascii="Quattrocento Sans" w:cs="Quattrocento Sans" w:eastAsia="Quattrocento Sans" w:hAnsi="Quattrocento Sans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1146662911"/>
          <w:tag w:val="goog_rdk_1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Applicants cannot be opted into data consent</w:t>
      </w:r>
    </w:p>
    <w:p w:rsidR="00000000" w:rsidDel="00000000" w:rsidP="00000000" w:rsidRDefault="00000000" w:rsidRPr="00000000" w14:paraId="00000043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If you said any of these criteria were inappropriate, or if you think we are missing any relevant criteria, please explain why in the box below. </w: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7940</wp:posOffset>
                </wp:positionH>
                <wp:positionV relativeFrom="paragraph">
                  <wp:posOffset>421958</wp:posOffset>
                </wp:positionV>
                <wp:extent cx="5772150" cy="2628050"/>
                <wp:effectExtent b="0" l="0" r="0" t="0"/>
                <wp:wrapSquare wrapText="bothSides" distB="45720" distT="45720" distL="114300" distR="11430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488500" y="2136938"/>
                          <a:ext cx="5715000" cy="3286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7940</wp:posOffset>
                </wp:positionH>
                <wp:positionV relativeFrom="paragraph">
                  <wp:posOffset>421958</wp:posOffset>
                </wp:positionV>
                <wp:extent cx="5772150" cy="2628050"/>
                <wp:effectExtent b="0" l="0" r="0" t="0"/>
                <wp:wrapSquare wrapText="bothSides" distB="45720" distT="45720" distL="114300" distR="11430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0" cy="2628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5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Below are the criteria we use for assessing a provider’s terms and conditions.  Please tick all criteria you consider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u w:val="single"/>
          <w:rtl w:val="0"/>
        </w:rPr>
        <w:t xml:space="preserve">inappropriate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332039872"/>
          <w:tag w:val="goog_rdk_1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number of words should not be excessive</w:t>
      </w:r>
    </w:p>
    <w:p w:rsidR="00000000" w:rsidDel="00000000" w:rsidP="00000000" w:rsidRDefault="00000000" w:rsidRPr="00000000" w14:paraId="0000004B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1818082274"/>
          <w:tag w:val="goog_rdk_1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There should not be too many words per page</w:t>
      </w:r>
    </w:p>
    <w:p w:rsidR="00000000" w:rsidDel="00000000" w:rsidP="00000000" w:rsidRDefault="00000000" w:rsidRPr="00000000" w14:paraId="0000004D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1596401824"/>
          <w:tag w:val="goog_rdk_2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reading grade should be 8 or lower</w:t>
      </w:r>
    </w:p>
    <w:p w:rsidR="00000000" w:rsidDel="00000000" w:rsidP="00000000" w:rsidRDefault="00000000" w:rsidRPr="00000000" w14:paraId="0000004F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1504325959"/>
          <w:tag w:val="goog_rdk_2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There should be minimal jargon</w:t>
      </w:r>
    </w:p>
    <w:p w:rsidR="00000000" w:rsidDel="00000000" w:rsidP="00000000" w:rsidRDefault="00000000" w:rsidRPr="00000000" w14:paraId="00000051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1173005589"/>
          <w:tag w:val="goog_rdk_2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document should have a well-designed table of contents </w:t>
      </w:r>
    </w:p>
    <w:p w:rsidR="00000000" w:rsidDel="00000000" w:rsidP="00000000" w:rsidRDefault="00000000" w:rsidRPr="00000000" w14:paraId="00000053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1771196069"/>
          <w:tag w:val="goog_rdk_2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document should not use complicated inter-references </w:t>
      </w:r>
    </w:p>
    <w:p w:rsidR="00000000" w:rsidDel="00000000" w:rsidP="00000000" w:rsidRDefault="00000000" w:rsidRPr="00000000" w14:paraId="00000055">
      <w:pPr>
        <w:shd w:fill="ffffff" w:val="clear"/>
        <w:spacing w:after="0" w:line="240" w:lineRule="auto"/>
        <w:jc w:val="both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1187136489"/>
          <w:tag w:val="goog_rdk_2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document should use colour effectively </w:t>
      </w:r>
    </w:p>
    <w:p w:rsidR="00000000" w:rsidDel="00000000" w:rsidP="00000000" w:rsidRDefault="00000000" w:rsidRPr="00000000" w14:paraId="00000057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443915894"/>
          <w:tag w:val="goog_rdk_2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font size must be sufficiently large</w:t>
      </w:r>
    </w:p>
    <w:p w:rsidR="00000000" w:rsidDel="00000000" w:rsidP="00000000" w:rsidRDefault="00000000" w:rsidRPr="00000000" w14:paraId="00000059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If you said any of these criteria were inappropriate, or if you think we are missing any relevant criteria, please explain why in the box below.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7940</wp:posOffset>
                </wp:positionH>
                <wp:positionV relativeFrom="paragraph">
                  <wp:posOffset>421958</wp:posOffset>
                </wp:positionV>
                <wp:extent cx="5772150" cy="3337800"/>
                <wp:effectExtent b="0" l="0" r="0" t="0"/>
                <wp:wrapSquare wrapText="bothSides" distB="45720" distT="45720" distL="114300" distR="114300"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488500" y="2141700"/>
                          <a:ext cx="5715000" cy="327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7940</wp:posOffset>
                </wp:positionH>
                <wp:positionV relativeFrom="paragraph">
                  <wp:posOffset>421958</wp:posOffset>
                </wp:positionV>
                <wp:extent cx="5772150" cy="3337800"/>
                <wp:effectExtent b="0" l="0" r="0" t="0"/>
                <wp:wrapSquare wrapText="bothSides" distB="45720" distT="45720" distL="114300" distR="114300"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0" cy="3337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headerReference r:id="rId9" w:type="default"/>
      <w:footerReference r:id="rId10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Quattrocento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Roboto" w:cs="Roboto" w:eastAsia="Roboto" w:hAnsi="Roboto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Roboto" w:cs="Roboto" w:eastAsia="Roboto" w:hAnsi="Roboto"/>
        <w:b w:val="0"/>
        <w:bCs w:val="0"/>
        <w:i w:val="0"/>
        <w:iCs w:val="0"/>
        <w:smallCaps w:val="0"/>
        <w:strike w:val="0"/>
        <w:color w:val="000000"/>
        <w:sz w:val="8"/>
        <w:szCs w:val="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Roboto" w:cs="Roboto" w:eastAsia="Roboto" w:hAnsi="Roboto"/>
        <w:b w:val="0"/>
        <w:bCs w:val="0"/>
        <w:i w:val="0"/>
        <w:iCs w:val="0"/>
        <w:smallCaps w:val="0"/>
        <w:strike w:val="0"/>
        <w:color w:val="000000"/>
        <w:sz w:val="8"/>
        <w:szCs w:val="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1463675</wp:posOffset>
          </wp:positionH>
          <wp:positionV relativeFrom="paragraph">
            <wp:posOffset>-388613</wp:posOffset>
          </wp:positionV>
          <wp:extent cx="2804160" cy="789738"/>
          <wp:effectExtent b="0" l="0" r="0" t="0"/>
          <wp:wrapNone/>
          <wp:docPr descr="Graphical user interface, website&#10;&#10;Description automatically generated" id="4" name="image1.png"/>
          <a:graphic>
            <a:graphicData uri="http://schemas.openxmlformats.org/drawingml/2006/picture">
              <pic:pic>
                <pic:nvPicPr>
                  <pic:cNvPr descr="Graphical user interface, website&#10;&#10;Description automatically generated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04160" cy="78973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corporate@fairerfinance.com" TargetMode="External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QuattrocentoSans-regular.ttf"/><Relationship Id="rId6" Type="http://schemas.openxmlformats.org/officeDocument/2006/relationships/font" Target="fonts/QuattrocentoSans-bold.ttf"/><Relationship Id="rId7" Type="http://schemas.openxmlformats.org/officeDocument/2006/relationships/font" Target="fonts/QuattrocentoSans-italic.ttf"/><Relationship Id="rId8" Type="http://schemas.openxmlformats.org/officeDocument/2006/relationships/font" Target="fonts/Quattrocen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OOGPuqE8fWKFvhbvdXgBrIZav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zgAciExa3BvZ0VCMVF1N29ITmJ6bm9ENHRKem1pSHVwcWdjTU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