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b w:val="1"/>
          <w:bCs w:val="1"/>
          <w:color w:val="202124"/>
          <w:sz w:val="48"/>
          <w:szCs w:val="48"/>
          <w:highlight w:val="white"/>
        </w:rPr>
      </w:pPr>
      <w:r w:rsidDel="00000000" w:rsidR="00000000" w:rsidRPr="00000000">
        <w:rPr>
          <w:rFonts w:ascii="Roboto" w:cs="Roboto" w:eastAsia="Roboto" w:hAnsi="Roboto"/>
          <w:b w:val="1"/>
          <w:bCs w:val="1"/>
          <w:color w:val="202124"/>
          <w:sz w:val="48"/>
          <w:szCs w:val="48"/>
          <w:highlight w:val="white"/>
          <w:rtl w:val="0"/>
        </w:rPr>
        <w:t xml:space="preserve">Customer Experience Ratings Feedback (Savings Accounts)</w:t>
      </w:r>
    </w:p>
    <w:p w:rsidR="00000000" w:rsidDel="00000000" w:rsidP="00000000" w:rsidRDefault="00000000" w:rsidRPr="00000000" w14:paraId="00000002">
      <w:pPr>
        <w:rPr>
          <w:rFonts w:ascii="Roboto" w:cs="Roboto" w:eastAsia="Roboto" w:hAnsi="Roboto"/>
          <w:b w:val="1"/>
          <w:bCs w:val="1"/>
          <w:color w:val="202124"/>
          <w:sz w:val="16"/>
          <w:szCs w:val="16"/>
          <w:highlight w:val="white"/>
        </w:rPr>
      </w:pPr>
      <w:r w:rsidDel="00000000" w:rsidR="00000000" w:rsidRPr="00000000">
        <w:rPr>
          <w:rtl w:val="0"/>
        </w:rPr>
      </w:r>
    </w:p>
    <w:p w:rsidR="00000000" w:rsidDel="00000000" w:rsidP="00000000" w:rsidRDefault="00000000" w:rsidRPr="00000000" w14:paraId="00000003">
      <w:pPr>
        <w:spacing w:after="0" w:line="240" w:lineRule="auto"/>
        <w:rPr>
          <w:rFonts w:ascii="Roboto" w:cs="Roboto" w:eastAsia="Roboto" w:hAnsi="Roboto"/>
          <w:sz w:val="24"/>
          <w:szCs w:val="24"/>
        </w:rPr>
      </w:pPr>
      <w:r w:rsidDel="00000000" w:rsidR="00000000" w:rsidRPr="00000000">
        <w:rPr>
          <w:rFonts w:ascii="Roboto" w:cs="Roboto" w:eastAsia="Roboto" w:hAnsi="Roboto"/>
          <w:color w:val="202124"/>
          <w:sz w:val="24"/>
          <w:szCs w:val="24"/>
          <w:highlight w:val="white"/>
          <w:rtl w:val="0"/>
        </w:rPr>
        <w:t xml:space="preserve">We would like to invite you to share your opinion on our customer experience ratings methodology. </w:t>
      </w:r>
      <w:r w:rsidDel="00000000" w:rsidR="00000000" w:rsidRPr="00000000">
        <w:rPr>
          <w:rtl w:val="0"/>
        </w:rPr>
      </w:r>
    </w:p>
    <w:p w:rsidR="00000000" w:rsidDel="00000000" w:rsidP="00000000" w:rsidRDefault="00000000" w:rsidRPr="00000000" w14:paraId="0000000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5">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customer experience ratings consultation period will open on 6th May 2026 and </w:t>
      </w:r>
      <w:r w:rsidDel="00000000" w:rsidR="00000000" w:rsidRPr="00000000">
        <w:rPr>
          <w:rFonts w:ascii="Roboto" w:cs="Roboto" w:eastAsia="Roboto" w:hAnsi="Roboto"/>
          <w:b w:val="1"/>
          <w:bCs w:val="1"/>
          <w:color w:val="202124"/>
          <w:sz w:val="24"/>
          <w:szCs w:val="24"/>
          <w:rtl w:val="0"/>
        </w:rPr>
        <w:t xml:space="preserve">closes to responses on 20 May 2026</w:t>
      </w:r>
      <w:r w:rsidDel="00000000" w:rsidR="00000000" w:rsidRPr="00000000">
        <w:rPr>
          <w:rFonts w:ascii="Roboto" w:cs="Roboto" w:eastAsia="Roboto" w:hAnsi="Roboto"/>
          <w:color w:val="202124"/>
          <w:sz w:val="24"/>
          <w:szCs w:val="24"/>
          <w:rtl w:val="0"/>
        </w:rPr>
        <w:t xml:space="preserve">.  </w:t>
      </w:r>
    </w:p>
    <w:p w:rsidR="00000000" w:rsidDel="00000000" w:rsidP="00000000" w:rsidRDefault="00000000" w:rsidRPr="00000000" w14:paraId="00000006">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br w:type="textWrapping"/>
        <w:t xml:space="preserve">While we can’t guarantee to make every change suggested, we will consider every piece of feedback – and we are always willing to discuss any concerns you have.</w:t>
        <w:br w:type="textWrapping"/>
        <w:br w:type="textWrapping"/>
        <w:t xml:space="preserve">This is for feedback on the customer experience ratings in general, not on your specific brand’s scores - if you have a query about the data relating to your brand, please contact us at </w:t>
      </w:r>
      <w:hyperlink r:id="rId6">
        <w:r w:rsidDel="00000000" w:rsidR="00000000" w:rsidRPr="00000000">
          <w:rPr>
            <w:rFonts w:ascii="Roboto" w:cs="Roboto" w:eastAsia="Roboto" w:hAnsi="Roboto"/>
            <w:color w:val="1155cc"/>
            <w:sz w:val="24"/>
            <w:szCs w:val="24"/>
            <w:u w:val="single"/>
            <w:rtl w:val="0"/>
          </w:rPr>
          <w:t xml:space="preserve">corporate@fairerfinance.com</w:t>
        </w:r>
      </w:hyperlink>
      <w:r w:rsidDel="00000000" w:rsidR="00000000" w:rsidRPr="00000000">
        <w:rPr>
          <w:rtl w:val="0"/>
        </w:rPr>
      </w:r>
    </w:p>
    <w:p w:rsidR="00000000" w:rsidDel="00000000" w:rsidP="00000000" w:rsidRDefault="00000000" w:rsidRPr="00000000" w14:paraId="0000000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8">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Name:</w:t>
      </w:r>
    </w:p>
    <w:p w:rsidR="00000000" w:rsidDel="00000000" w:rsidP="00000000" w:rsidRDefault="00000000" w:rsidRPr="00000000" w14:paraId="00000009">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A">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Company name:</w:t>
      </w:r>
    </w:p>
    <w:p w:rsidR="00000000" w:rsidDel="00000000" w:rsidP="00000000" w:rsidRDefault="00000000" w:rsidRPr="00000000" w14:paraId="0000000B">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C">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Job title:</w:t>
      </w:r>
    </w:p>
    <w:p w:rsidR="00000000" w:rsidDel="00000000" w:rsidP="00000000" w:rsidRDefault="00000000" w:rsidRPr="00000000" w14:paraId="0000000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E">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components of our customer experience ratings:</w:t>
      </w:r>
    </w:p>
    <w:p w:rsidR="00000000" w:rsidDel="00000000" w:rsidP="00000000" w:rsidRDefault="00000000" w:rsidRPr="00000000" w14:paraId="0000000F">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0">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satisfaction</w:t>
      </w:r>
    </w:p>
    <w:p w:rsidR="00000000" w:rsidDel="00000000" w:rsidP="00000000" w:rsidRDefault="00000000" w:rsidRPr="00000000" w14:paraId="00000011">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trust</w:t>
      </w:r>
    </w:p>
    <w:p w:rsidR="00000000" w:rsidDel="00000000" w:rsidP="00000000" w:rsidRDefault="00000000" w:rsidRPr="00000000" w14:paraId="00000012">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w:t>
      </w:r>
    </w:p>
    <w:p w:rsidR="00000000" w:rsidDel="00000000" w:rsidP="00000000" w:rsidRDefault="00000000" w:rsidRPr="00000000" w14:paraId="00000013">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Transparency</w:t>
      </w:r>
    </w:p>
    <w:p w:rsidR="00000000" w:rsidDel="00000000" w:rsidP="00000000" w:rsidRDefault="00000000" w:rsidRPr="00000000" w14:paraId="00000014">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5">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satisfaction and trust and measured by polling respondents through our fieldwork partners. We survey 10,000 respondents twice a year to gather this data. </w:t>
      </w:r>
    </w:p>
    <w:p w:rsidR="00000000" w:rsidDel="00000000" w:rsidP="00000000" w:rsidRDefault="00000000" w:rsidRPr="00000000" w14:paraId="00000016">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7">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 scores are calculated by looking at the proportion of complaints upheld against a provider by the Financial Ombudsman Service (the lower the percentage of complaints upheld, the higher the complaints score).</w:t>
      </w:r>
    </w:p>
    <w:p w:rsidR="00000000" w:rsidDel="00000000" w:rsidP="00000000" w:rsidRDefault="00000000" w:rsidRPr="00000000" w14:paraId="00000018">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Transparency scores are based on our assessment of the clarity of providers’ online journeys and documents. The full methodology for transparency in this sector is outlined below.</w:t>
      </w:r>
    </w:p>
    <w:p w:rsidR="00000000" w:rsidDel="00000000" w:rsidP="00000000" w:rsidRDefault="00000000" w:rsidRPr="00000000" w14:paraId="0000001A">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B">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think any of these criteria are inappropriate, or if you think we are missing any relevant criteria, please explain why in the box below.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1066247"/>
                <wp:effectExtent b="0" l="0" r="0" t="0"/>
                <wp:wrapSquare wrapText="bothSides" distB="45720" distT="45720" distL="114300" distR="114300"/>
                <wp:docPr id="3" name=""/>
                <a:graphic>
                  <a:graphicData uri="http://schemas.microsoft.com/office/word/2010/wordprocessingShape">
                    <wps:wsp>
                      <wps:cNvSpPr/>
                      <wps:cNvPr id="4" name="Shape 4"/>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452120</wp:posOffset>
                </wp:positionV>
                <wp:extent cx="5743575" cy="1066247"/>
                <wp:effectExtent b="0" l="0" r="0" t="0"/>
                <wp:wrapSquare wrapText="bothSides" distB="45720" distT="45720" distL="114300" distR="114300"/>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743575" cy="1066247"/>
                        </a:xfrm>
                        <a:prstGeom prst="rect"/>
                        <a:ln/>
                      </pic:spPr>
                    </pic:pic>
                  </a:graphicData>
                </a:graphic>
              </wp:anchor>
            </w:drawing>
          </mc:Fallback>
        </mc:AlternateContent>
      </w:r>
    </w:p>
    <w:p w:rsidR="00000000" w:rsidDel="00000000" w:rsidP="00000000" w:rsidRDefault="00000000" w:rsidRPr="00000000" w14:paraId="0000001C">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E">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our criteria for assessing the transparency of a savings account purchase journey.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ffffff" w:val="clear"/>
        <w:spacing w:after="0" w:line="240" w:lineRule="auto"/>
        <w:ind w:left="720" w:firstLine="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0">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If the bond rolls over into another bond at maturity (where the customer hasn’t given instructions for what to do at maturity), the term length of the post-maturity bond must be clearly displayed and explained.</w:t>
      </w:r>
    </w:p>
    <w:p w:rsidR="00000000" w:rsidDel="00000000" w:rsidP="00000000" w:rsidRDefault="00000000" w:rsidRPr="00000000" w14:paraId="0000002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2">
      <w:pPr>
        <w:shd w:fill="ffffff" w:val="clea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If the money in the bond is moved to an easy/instant access account at maturity (where the customer doesn’t give instructions for what to do at maturity), this must be clearly displayed and explained.</w:t>
      </w:r>
      <w:r w:rsidDel="00000000" w:rsidR="00000000" w:rsidRPr="00000000">
        <w:rPr>
          <w:rtl w:val="0"/>
        </w:rPr>
      </w:r>
    </w:p>
    <w:p w:rsidR="00000000" w:rsidDel="00000000" w:rsidP="00000000" w:rsidRDefault="00000000" w:rsidRPr="00000000" w14:paraId="00000023">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4">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It must be clearly explained that customers can give instructions to the provider for what should happen to their money at maturity. It must also be explained how the provider will contact customers to give them their options at maturity, how long the window is in which customers can give instructions, and what happens if they do not give instructions.</w:t>
      </w:r>
    </w:p>
    <w:p w:rsidR="00000000" w:rsidDel="00000000" w:rsidP="00000000" w:rsidRDefault="00000000" w:rsidRPr="00000000" w14:paraId="0000002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6">
      <w:pPr>
        <w:shd w:fill="ffffff" w:val="clea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It must be clearly explained whether withdrawals are allowed before maturity. If they are allowed, the penalty in interest for making a withdrawal must be stated, alongside the fact that customers may get back less than they put in. </w:t>
      </w:r>
      <w:r w:rsidDel="00000000" w:rsidR="00000000" w:rsidRPr="00000000">
        <w:rPr>
          <w:rtl w:val="0"/>
        </w:rPr>
      </w:r>
    </w:p>
    <w:p w:rsidR="00000000" w:rsidDel="00000000" w:rsidP="00000000" w:rsidRDefault="00000000" w:rsidRPr="00000000" w14:paraId="00000027">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8">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FSCS cover must be clearly displayed and explained.</w:t>
      </w:r>
    </w:p>
    <w:p w:rsidR="00000000" w:rsidDel="00000000" w:rsidP="00000000" w:rsidRDefault="00000000" w:rsidRPr="00000000" w14:paraId="0000002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A">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summary box should be clearly displayed.</w:t>
      </w:r>
    </w:p>
    <w:p w:rsidR="00000000" w:rsidDel="00000000" w:rsidP="00000000" w:rsidRDefault="00000000" w:rsidRPr="00000000" w14:paraId="0000002B">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C">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AER should be explained in simple English with a worked example.</w:t>
      </w:r>
    </w:p>
    <w:p w:rsidR="00000000" w:rsidDel="00000000" w:rsidP="00000000" w:rsidRDefault="00000000" w:rsidRPr="00000000" w14:paraId="0000002D">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E">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terms and conditions must be easy to access in the application journey or on the main product page.</w:t>
      </w:r>
    </w:p>
    <w:p w:rsidR="00000000" w:rsidDel="00000000" w:rsidP="00000000" w:rsidRDefault="00000000" w:rsidRPr="00000000" w14:paraId="0000002F">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0">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website must use short, simple words. To get full marks, the average word should be five letters or shorter, and there should be no overly complicated words.</w:t>
      </w:r>
    </w:p>
    <w:p w:rsidR="00000000" w:rsidDel="00000000" w:rsidP="00000000" w:rsidRDefault="00000000" w:rsidRPr="00000000" w14:paraId="00000031">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All the text on the website should be in a large enough font to read easily. The highest marks are awarded if the smallest font on the website is at least 18 pixels (or 13.5 point).</w:t>
      </w:r>
    </w:p>
    <w:p w:rsidR="00000000" w:rsidDel="00000000" w:rsidP="00000000" w:rsidRDefault="00000000" w:rsidRPr="00000000" w14:paraId="0000003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website should be adaptable to mobile devices.</w:t>
      </w:r>
    </w:p>
    <w:p w:rsidR="00000000" w:rsidDel="00000000" w:rsidP="00000000" w:rsidRDefault="00000000" w:rsidRPr="00000000" w14:paraId="0000003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Web pages are assessed against the World Wide Web Consortium's (W3C) accessibility guidelines (WCAG 2.2 which can be found on 3wc.org) using SortSite (https://www.powermapper.com/products/sortsite/checks/accessibility-checks/). Violations of these guidelines – such as colour contrast issues or the absence of alternative text - cost points. </w:t>
      </w:r>
    </w:p>
    <w:p w:rsidR="00000000" w:rsidDel="00000000" w:rsidP="00000000" w:rsidRDefault="00000000" w:rsidRPr="00000000" w14:paraId="00000037">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Roboto" w:cs="Roboto" w:eastAsia="Roboto" w:hAnsi="Roboto"/>
          <w:color w:val="212529"/>
          <w:sz w:val="24"/>
          <w:szCs w:val="24"/>
        </w:rPr>
      </w:pPr>
      <w:r w:rsidDel="00000000" w:rsidR="00000000" w:rsidRPr="00000000">
        <w:rPr>
          <w:rFonts w:ascii="Arial Unicode MS" w:cs="Arial Unicode MS" w:eastAsia="Arial Unicode MS" w:hAnsi="Arial Unicode MS"/>
          <w:color w:val="212529"/>
          <w:sz w:val="24"/>
          <w:szCs w:val="24"/>
          <w:rtl w:val="0"/>
        </w:rPr>
        <w:t xml:space="preserve">☐</w:t>
      </w:r>
      <w:r w:rsidDel="00000000" w:rsidR="00000000" w:rsidRPr="00000000">
        <w:rPr>
          <w:rFonts w:ascii="Roboto" w:cs="Roboto" w:eastAsia="Roboto" w:hAnsi="Roboto"/>
          <w:color w:val="212529"/>
          <w:sz w:val="24"/>
          <w:szCs w:val="24"/>
          <w:rtl w:val="0"/>
        </w:rPr>
        <w:t xml:space="preserve">  A provider must make their customer service number clear on the contact page and product journey.</w:t>
      </w:r>
    </w:p>
    <w:p w:rsidR="00000000" w:rsidDel="00000000" w:rsidP="00000000" w:rsidRDefault="00000000" w:rsidRPr="00000000" w14:paraId="00000039">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A">
      <w:pPr>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Customers must be able to chat directly to a human customer service agent via a web chat.</w:t>
        <w:br w:type="textWrapping"/>
      </w: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Customers should be able to select their relevant title or “other” on the personal details page of their application.</w:t>
      </w:r>
    </w:p>
    <w:p w:rsidR="00000000" w:rsidDel="00000000" w:rsidP="00000000" w:rsidRDefault="00000000" w:rsidRPr="00000000" w14:paraId="0000003B">
      <w:pPr>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Customers must be able to access information about financial support.</w:t>
      </w:r>
    </w:p>
    <w:p w:rsidR="00000000" w:rsidDel="00000000" w:rsidP="00000000" w:rsidRDefault="00000000" w:rsidRPr="00000000" w14:paraId="0000003C">
      <w:pPr>
        <w:rPr>
          <w:rFonts w:ascii="Roboto" w:cs="Roboto" w:eastAsia="Roboto" w:hAnsi="Roboto"/>
          <w:color w:val="212529"/>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w:t>
      </w:r>
      <w:r w:rsidDel="00000000" w:rsidR="00000000" w:rsidRPr="00000000">
        <w:rPr>
          <w:rFonts w:ascii="Roboto" w:cs="Roboto" w:eastAsia="Roboto" w:hAnsi="Roboto"/>
          <w:color w:val="212529"/>
          <w:sz w:val="24"/>
          <w:szCs w:val="24"/>
          <w:rtl w:val="0"/>
        </w:rPr>
        <w:t xml:space="preserve">The cooling off period of fixed term products must be clearly and prominently explained. </w:t>
      </w:r>
    </w:p>
    <w:p w:rsidR="00000000" w:rsidDel="00000000" w:rsidP="00000000" w:rsidRDefault="00000000" w:rsidRPr="00000000" w14:paraId="0000003D">
      <w:pPr>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E">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F">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439420</wp:posOffset>
                </wp:positionV>
                <wp:extent cx="5753100" cy="3084988"/>
                <wp:effectExtent b="0" l="0" r="0" t="0"/>
                <wp:wrapSquare wrapText="bothSides" distB="45720" distT="45720" distL="114300" distR="114300"/>
                <wp:docPr id="1" name=""/>
                <a:graphic>
                  <a:graphicData uri="http://schemas.microsoft.com/office/word/2010/wordprocessingShape">
                    <wps:wsp>
                      <wps:cNvSpPr/>
                      <wps:cNvPr id="2" name="Shape 2"/>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439420</wp:posOffset>
                </wp:positionV>
                <wp:extent cx="5753100" cy="3084988"/>
                <wp:effectExtent b="0" l="0" r="0" t="0"/>
                <wp:wrapSquare wrapText="bothSides" distB="45720" distT="45720" distL="114300" distR="11430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753100" cy="3084988"/>
                        </a:xfrm>
                        <a:prstGeom prst="rect"/>
                        <a:ln/>
                      </pic:spPr>
                    </pic:pic>
                  </a:graphicData>
                </a:graphic>
              </wp:anchor>
            </w:drawing>
          </mc:Fallback>
        </mc:AlternateContent>
      </w:r>
    </w:p>
    <w:p w:rsidR="00000000" w:rsidDel="00000000" w:rsidP="00000000" w:rsidRDefault="00000000" w:rsidRPr="00000000" w14:paraId="0000004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1">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criteria we use for assessing a provider’s terms and conditions.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ffffff" w:val="clear"/>
        <w:spacing w:after="0" w:line="240" w:lineRule="auto"/>
        <w:ind w:left="720" w:firstLine="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3">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number of words should not be excessive.</w:t>
      </w:r>
    </w:p>
    <w:p w:rsidR="00000000" w:rsidDel="00000000" w:rsidP="00000000" w:rsidRDefault="00000000" w:rsidRPr="00000000" w14:paraId="0000004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5">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There should not be too many words per page.</w:t>
      </w:r>
    </w:p>
    <w:p w:rsidR="00000000" w:rsidDel="00000000" w:rsidP="00000000" w:rsidRDefault="00000000" w:rsidRPr="00000000" w14:paraId="00000046">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7">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reading grade should be 8 or lower.</w:t>
      </w:r>
    </w:p>
    <w:p w:rsidR="00000000" w:rsidDel="00000000" w:rsidP="00000000" w:rsidRDefault="00000000" w:rsidRPr="00000000" w14:paraId="00000048">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9">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There should be minimal jargon.</w:t>
      </w:r>
    </w:p>
    <w:p w:rsidR="00000000" w:rsidDel="00000000" w:rsidP="00000000" w:rsidRDefault="00000000" w:rsidRPr="00000000" w14:paraId="0000004A">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B">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document should have a well-designed table of contents. </w:t>
      </w:r>
    </w:p>
    <w:p w:rsidR="00000000" w:rsidDel="00000000" w:rsidP="00000000" w:rsidRDefault="00000000" w:rsidRPr="00000000" w14:paraId="0000004C">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D">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document should not use complicated inter-references. </w:t>
      </w:r>
    </w:p>
    <w:p w:rsidR="00000000" w:rsidDel="00000000" w:rsidP="00000000" w:rsidRDefault="00000000" w:rsidRPr="00000000" w14:paraId="0000004E">
      <w:pPr>
        <w:shd w:fill="ffffff" w:val="clear"/>
        <w:spacing w:after="0" w:line="240" w:lineRule="auto"/>
        <w:jc w:val="both"/>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F">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document should use colour effectively. </w:t>
      </w:r>
    </w:p>
    <w:p w:rsidR="00000000" w:rsidDel="00000000" w:rsidP="00000000" w:rsidRDefault="00000000" w:rsidRPr="00000000" w14:paraId="0000005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1">
      <w:pPr>
        <w:shd w:fill="ffffff" w:val="clear"/>
        <w:spacing w:after="0" w:line="240" w:lineRule="auto"/>
        <w:rPr>
          <w:rFonts w:ascii="Roboto" w:cs="Roboto" w:eastAsia="Roboto" w:hAnsi="Roboto"/>
          <w:color w:val="202124"/>
          <w:sz w:val="24"/>
          <w:szCs w:val="24"/>
        </w:rPr>
      </w:pPr>
      <w:r w:rsidDel="00000000" w:rsidR="00000000" w:rsidRPr="00000000">
        <w:rPr>
          <w:rFonts w:ascii="MS Gothic" w:cs="MS Gothic" w:eastAsia="MS Gothic" w:hAnsi="MS Gothic"/>
          <w:color w:val="202124"/>
          <w:sz w:val="24"/>
          <w:szCs w:val="24"/>
          <w:rtl w:val="0"/>
        </w:rPr>
        <w:t xml:space="preserve">☐</w:t>
      </w:r>
      <w:r w:rsidDel="00000000" w:rsidR="00000000" w:rsidRPr="00000000">
        <w:rPr>
          <w:rFonts w:ascii="Roboto" w:cs="Roboto" w:eastAsia="Roboto" w:hAnsi="Roboto"/>
          <w:color w:val="202124"/>
          <w:sz w:val="24"/>
          <w:szCs w:val="24"/>
          <w:rtl w:val="0"/>
        </w:rPr>
        <w:t xml:space="preserve"> The font size must be sufficiently large.</w:t>
      </w:r>
    </w:p>
    <w:p w:rsidR="00000000" w:rsidDel="00000000" w:rsidP="00000000" w:rsidRDefault="00000000" w:rsidRPr="00000000" w14:paraId="0000005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4">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We currently asked respondents questions about their perceptions of the following aspects (All questions are asked on a 5 point likert scale and turned into % scores out of 100%): </w:t>
      </w:r>
    </w:p>
    <w:p w:rsidR="00000000" w:rsidDel="00000000" w:rsidP="00000000" w:rsidRDefault="00000000" w:rsidRPr="00000000" w14:paraId="0000005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6">
      <w:pPr>
        <w:numPr>
          <w:ilvl w:val="0"/>
          <w:numId w:val="2"/>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Satisfaction with the provider</w:t>
      </w:r>
    </w:p>
    <w:p w:rsidR="00000000" w:rsidDel="00000000" w:rsidP="00000000" w:rsidRDefault="00000000" w:rsidRPr="00000000" w14:paraId="00000057">
      <w:pPr>
        <w:numPr>
          <w:ilvl w:val="0"/>
          <w:numId w:val="2"/>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Trust of the provider</w:t>
      </w:r>
    </w:p>
    <w:p w:rsidR="00000000" w:rsidDel="00000000" w:rsidP="00000000" w:rsidRDefault="00000000" w:rsidRPr="00000000" w14:paraId="00000058">
      <w:pPr>
        <w:numPr>
          <w:ilvl w:val="0"/>
          <w:numId w:val="2"/>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Satisfaction with particular product features including: </w:t>
      </w:r>
    </w:p>
    <w:p w:rsidR="00000000" w:rsidDel="00000000" w:rsidP="00000000" w:rsidRDefault="00000000" w:rsidRPr="00000000" w14:paraId="00000059">
      <w:pPr>
        <w:numPr>
          <w:ilvl w:val="0"/>
          <w:numId w:val="5"/>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Overall customer service</w:t>
      </w:r>
    </w:p>
    <w:p w:rsidR="00000000" w:rsidDel="00000000" w:rsidP="00000000" w:rsidRDefault="00000000" w:rsidRPr="00000000" w14:paraId="0000005A">
      <w:pPr>
        <w:numPr>
          <w:ilvl w:val="0"/>
          <w:numId w:val="5"/>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in-branch customer service</w:t>
      </w:r>
    </w:p>
    <w:p w:rsidR="00000000" w:rsidDel="00000000" w:rsidP="00000000" w:rsidRDefault="00000000" w:rsidRPr="00000000" w14:paraId="0000005B">
      <w:pPr>
        <w:numPr>
          <w:ilvl w:val="0"/>
          <w:numId w:val="5"/>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Customer service over the phone</w:t>
      </w:r>
    </w:p>
    <w:p w:rsidR="00000000" w:rsidDel="00000000" w:rsidP="00000000" w:rsidRDefault="00000000" w:rsidRPr="00000000" w14:paraId="0000005C">
      <w:pPr>
        <w:numPr>
          <w:ilvl w:val="0"/>
          <w:numId w:val="5"/>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Digital customer service</w:t>
      </w:r>
    </w:p>
    <w:p w:rsidR="00000000" w:rsidDel="00000000" w:rsidP="00000000" w:rsidRDefault="00000000" w:rsidRPr="00000000" w14:paraId="0000005D">
      <w:pPr>
        <w:numPr>
          <w:ilvl w:val="0"/>
          <w:numId w:val="5"/>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interest rates</w:t>
      </w:r>
    </w:p>
    <w:p w:rsidR="00000000" w:rsidDel="00000000" w:rsidP="00000000" w:rsidRDefault="00000000" w:rsidRPr="00000000" w14:paraId="0000005E">
      <w:pPr>
        <w:numPr>
          <w:ilvl w:val="0"/>
          <w:numId w:val="5"/>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app/website/online portal</w:t>
      </w:r>
    </w:p>
    <w:p w:rsidR="00000000" w:rsidDel="00000000" w:rsidP="00000000" w:rsidRDefault="00000000" w:rsidRPr="00000000" w14:paraId="0000005F">
      <w:pPr>
        <w:numPr>
          <w:ilvl w:val="0"/>
          <w:numId w:val="5"/>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account management tools</w:t>
      </w:r>
    </w:p>
    <w:p w:rsidR="00000000" w:rsidDel="00000000" w:rsidP="00000000" w:rsidRDefault="00000000" w:rsidRPr="00000000" w14:paraId="00000060">
      <w:pPr>
        <w:numPr>
          <w:ilvl w:val="0"/>
          <w:numId w:val="5"/>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Access to branches</w:t>
      </w:r>
    </w:p>
    <w:p w:rsidR="00000000" w:rsidDel="00000000" w:rsidP="00000000" w:rsidRDefault="00000000" w:rsidRPr="00000000" w14:paraId="00000061">
      <w:pPr>
        <w:numPr>
          <w:ilvl w:val="0"/>
          <w:numId w:val="5"/>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Level of security</w:t>
      </w:r>
    </w:p>
    <w:p w:rsidR="00000000" w:rsidDel="00000000" w:rsidP="00000000" w:rsidRDefault="00000000" w:rsidRPr="00000000" w14:paraId="00000062">
      <w:pPr>
        <w:numPr>
          <w:ilvl w:val="0"/>
          <w:numId w:val="5"/>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Communication from the provider</w:t>
      </w:r>
    </w:p>
    <w:p w:rsidR="00000000" w:rsidDel="00000000" w:rsidP="00000000" w:rsidRDefault="00000000" w:rsidRPr="00000000" w14:paraId="00000063">
      <w:pPr>
        <w:numPr>
          <w:ilvl w:val="0"/>
          <w:numId w:val="5"/>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reliability of the service</w:t>
      </w:r>
    </w:p>
    <w:p w:rsidR="00000000" w:rsidDel="00000000" w:rsidP="00000000" w:rsidRDefault="00000000" w:rsidRPr="00000000" w14:paraId="00000064">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Why they picked their provider</w:t>
      </w:r>
    </w:p>
    <w:p w:rsidR="00000000" w:rsidDel="00000000" w:rsidP="00000000" w:rsidRDefault="00000000" w:rsidRPr="00000000" w14:paraId="00000065">
      <w:pPr>
        <w:numPr>
          <w:ilvl w:val="0"/>
          <w:numId w:val="2"/>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Value for money</w:t>
      </w:r>
    </w:p>
    <w:p w:rsidR="00000000" w:rsidDel="00000000" w:rsidP="00000000" w:rsidRDefault="00000000" w:rsidRPr="00000000" w14:paraId="00000066">
      <w:pPr>
        <w:numPr>
          <w:ilvl w:val="0"/>
          <w:numId w:val="2"/>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Providers digital capability</w:t>
      </w:r>
    </w:p>
    <w:p w:rsidR="00000000" w:rsidDel="00000000" w:rsidP="00000000" w:rsidRDefault="00000000" w:rsidRPr="00000000" w14:paraId="00000067">
      <w:pPr>
        <w:numPr>
          <w:ilvl w:val="0"/>
          <w:numId w:val="2"/>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Communications from the provider, including a) clarity, b) ease of understanding, c) helping inform decisions, d) tailored to needs</w:t>
      </w:r>
    </w:p>
    <w:p w:rsidR="00000000" w:rsidDel="00000000" w:rsidP="00000000" w:rsidRDefault="00000000" w:rsidRPr="00000000" w14:paraId="00000068">
      <w:pPr>
        <w:shd w:fill="ffffff" w:val="clear"/>
        <w:spacing w:after="0" w:line="240" w:lineRule="auto"/>
        <w:ind w:left="720" w:firstLine="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A">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Do you think these questions are useful, would other questions be more valuable for you to track? We are planning to remove the communications questions as the results have not been very insightful, this means we have space for a new question. Please specify what other aspects would be useful for you to track. </w:t>
      </w:r>
    </w:p>
    <w:p w:rsidR="00000000" w:rsidDel="00000000" w:rsidP="00000000" w:rsidRDefault="00000000" w:rsidRPr="00000000" w14:paraId="0000006B">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C">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D">
      <w:pPr>
        <w:shd w:fill="ffffff" w:val="clear"/>
        <w:spacing w:after="0" w:line="240" w:lineRule="auto"/>
        <w:rPr>
          <w:rFonts w:ascii="Roboto" w:cs="Roboto" w:eastAsia="Roboto" w:hAnsi="Roboto"/>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2" name=""/>
                <a:graphic>
                  <a:graphicData uri="http://schemas.microsoft.com/office/word/2010/wordprocessingShape">
                    <wps:wsp>
                      <wps:cNvSpPr/>
                      <wps:cNvPr id="3" name="Shape 3"/>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743575" cy="1607356"/>
                        </a:xfrm>
                        <a:prstGeom prst="rect"/>
                        <a:ln/>
                      </pic:spPr>
                    </pic:pic>
                  </a:graphicData>
                </a:graphic>
              </wp:anchor>
            </w:drawing>
          </mc:Fallback>
        </mc:AlternateContent>
      </w:r>
    </w:p>
    <w:p w:rsidR="00000000" w:rsidDel="00000000" w:rsidP="00000000" w:rsidRDefault="00000000" w:rsidRPr="00000000" w14:paraId="0000006E">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F">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We ask participants several questions about their personal circumstances so we can split up the responses by different demographic and vulnerability segments, these questions are listed below: </w:t>
      </w:r>
    </w:p>
    <w:p w:rsidR="00000000" w:rsidDel="00000000" w:rsidP="00000000" w:rsidRDefault="00000000" w:rsidRPr="00000000" w14:paraId="0000007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1">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Age</w:t>
      </w:r>
    </w:p>
    <w:p w:rsidR="00000000" w:rsidDel="00000000" w:rsidP="00000000" w:rsidRDefault="00000000" w:rsidRPr="00000000" w14:paraId="00000072">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Gender</w:t>
      </w:r>
    </w:p>
    <w:p w:rsidR="00000000" w:rsidDel="00000000" w:rsidP="00000000" w:rsidRDefault="00000000" w:rsidRPr="00000000" w14:paraId="00000073">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Region</w:t>
      </w:r>
    </w:p>
    <w:p w:rsidR="00000000" w:rsidDel="00000000" w:rsidP="00000000" w:rsidRDefault="00000000" w:rsidRPr="00000000" w14:paraId="00000074">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Income</w:t>
      </w:r>
    </w:p>
    <w:p w:rsidR="00000000" w:rsidDel="00000000" w:rsidP="00000000" w:rsidRDefault="00000000" w:rsidRPr="00000000" w14:paraId="00000075">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Confidence handling money</w:t>
      </w:r>
    </w:p>
    <w:p w:rsidR="00000000" w:rsidDel="00000000" w:rsidP="00000000" w:rsidRDefault="00000000" w:rsidRPr="00000000" w14:paraId="00000076">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Are bills are burden</w:t>
      </w:r>
    </w:p>
    <w:p w:rsidR="00000000" w:rsidDel="00000000" w:rsidP="00000000" w:rsidRDefault="00000000" w:rsidRPr="00000000" w14:paraId="00000077">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Do they have a health condition</w:t>
      </w:r>
    </w:p>
    <w:p w:rsidR="00000000" w:rsidDel="00000000" w:rsidP="00000000" w:rsidRDefault="00000000" w:rsidRPr="00000000" w14:paraId="00000078">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Have they experienced a negative life event recently (e.g bereavement)</w:t>
      </w:r>
    </w:p>
    <w:p w:rsidR="00000000" w:rsidDel="00000000" w:rsidP="00000000" w:rsidRDefault="00000000" w:rsidRPr="00000000" w14:paraId="0000007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A">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Do you think there are any other splits that would be useful to include, or any of the above that aren’t appropriate?</w:t>
      </w:r>
    </w:p>
    <w:p w:rsidR="00000000" w:rsidDel="00000000" w:rsidP="00000000" w:rsidRDefault="00000000" w:rsidRPr="00000000" w14:paraId="0000007B">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7C">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4" name=""/>
                <a:graphic>
                  <a:graphicData uri="http://schemas.microsoft.com/office/word/2010/wordprocessingShape">
                    <wps:wsp>
                      <wps:cNvSpPr/>
                      <wps:cNvPr id="3" name="Shape 3"/>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743575" cy="1607356"/>
                        </a:xfrm>
                        <a:prstGeom prst="rect"/>
                        <a:ln/>
                      </pic:spPr>
                    </pic:pic>
                  </a:graphicData>
                </a:graphic>
              </wp:anchor>
            </w:drawing>
          </mc:Fallback>
        </mc:AlternateContent>
      </w:r>
    </w:p>
    <w:p w:rsidR="00000000" w:rsidDel="00000000" w:rsidP="00000000" w:rsidRDefault="00000000" w:rsidRPr="00000000" w14:paraId="0000007D">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E">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F">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1">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439420</wp:posOffset>
                </wp:positionV>
                <wp:extent cx="5753100" cy="3314700"/>
                <wp:effectExtent b="0" l="0" r="0" t="0"/>
                <wp:wrapSquare wrapText="bothSides" distB="45720" distT="45720" distL="114300" distR="114300"/>
                <wp:docPr id="5" name=""/>
                <a:graphic>
                  <a:graphicData uri="http://schemas.microsoft.com/office/word/2010/wordprocessingShape">
                    <wps:wsp>
                      <wps:cNvSpPr/>
                      <wps:cNvPr id="3" name="Shape 3"/>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12701</wp:posOffset>
                </wp:positionH>
                <wp:positionV relativeFrom="paragraph">
                  <wp:posOffset>439420</wp:posOffset>
                </wp:positionV>
                <wp:extent cx="5753100" cy="3314700"/>
                <wp:effectExtent b="0" l="0" r="0" t="0"/>
                <wp:wrapSquare wrapText="bothSides" distB="45720" distT="45720" distL="114300" distR="114300"/>
                <wp:docPr id="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753100" cy="3314700"/>
                        </a:xfrm>
                        <a:prstGeom prst="rect"/>
                        <a:ln/>
                      </pic:spPr>
                    </pic:pic>
                  </a:graphicData>
                </a:graphic>
              </wp:anchor>
            </w:drawing>
          </mc:Fallback>
        </mc:AlternateContent>
      </w:r>
    </w:p>
    <w:p w:rsidR="00000000" w:rsidDel="00000000" w:rsidP="00000000" w:rsidRDefault="00000000" w:rsidRPr="00000000" w14:paraId="00000082">
      <w:pPr>
        <w:shd w:fill="ffffff" w:val="clear"/>
        <w:spacing w:after="0" w:line="240" w:lineRule="auto"/>
        <w:rPr>
          <w:rFonts w:ascii="Roboto" w:cs="Roboto" w:eastAsia="Roboto" w:hAnsi="Roboto"/>
          <w:color w:val="202124"/>
          <w:sz w:val="24"/>
          <w:szCs w:val="24"/>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rFonts w:ascii="Roboto" w:cs="Roboto" w:eastAsia="Roboto" w:hAnsi="Roboto"/>
        <w:color w:val="000000"/>
        <w:sz w:val="24"/>
        <w:szCs w:val="24"/>
      </w:rPr>
    </w:pPr>
    <w:r w:rsidDel="00000000" w:rsidR="00000000" w:rsidRPr="00000000">
      <w:rPr>
        <w:rFonts w:ascii="Roboto" w:cs="Roboto" w:eastAsia="Roboto" w:hAnsi="Roboto"/>
        <w:color w:val="000000"/>
        <w:sz w:val="8"/>
        <w:szCs w:val="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Roboto" w:cs="Roboto" w:eastAsia="Roboto" w:hAnsi="Roboto"/>
        <w:color w:val="000000"/>
        <w:sz w:val="8"/>
        <w:szCs w:val="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1463675</wp:posOffset>
          </wp:positionH>
          <wp:positionV relativeFrom="paragraph">
            <wp:posOffset>-388616</wp:posOffset>
          </wp:positionV>
          <wp:extent cx="2804160" cy="789738"/>
          <wp:effectExtent b="0" l="0" r="0" t="0"/>
          <wp:wrapNone/>
          <wp:docPr descr="Graphical user interface, website&#10;&#10;Description automatically generated" id="6" name="image1.png"/>
          <a:graphic>
            <a:graphicData uri="http://schemas.openxmlformats.org/drawingml/2006/picture">
              <pic:pic>
                <pic:nvPicPr>
                  <pic:cNvPr descr="Graphical user interface, website&#10;&#10;Description automatically generated" id="0" name="image1.png"/>
                  <pic:cNvPicPr preferRelativeResize="0"/>
                </pic:nvPicPr>
                <pic:blipFill>
                  <a:blip r:embed="rId1"/>
                  <a:srcRect b="0" l="0" r="0" t="0"/>
                  <a:stretch>
                    <a:fillRect/>
                  </a:stretch>
                </pic:blipFill>
                <pic:spPr>
                  <a:xfrm>
                    <a:off x="0" y="0"/>
                    <a:ext cx="2804160" cy="7897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corporate@fairerfinance.com" TargetMode="External"/><Relationship Id="rId7" Type="http://schemas.openxmlformats.org/officeDocument/2006/relationships/image" Target="media/image4.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