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  <w:rtl w:val="0"/>
        </w:rPr>
        <w:t xml:space="preserve">Customer Experience Ratings Feedback (Travel Insurance)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202124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We would like to invite you to share your opinion on our customer experience ratings methodology.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The customer experience ratings consultation period will open on 6th May 2026 and 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closes to responses on 20 May 2026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br w:type="textWrapping"/>
        <w:t xml:space="preserve">While we can’t guarantee to make every change suggested, we will consider every piece of feedback – and we are always willing to discuss any concerns you have.</w:t>
        <w:br w:type="textWrapping"/>
        <w:br w:type="textWrapping"/>
        <w:t xml:space="preserve">This is for feedback on the customer experience ratings in general, not on your specific brand’s scores - if you have a query about the data relating to your brand, please contact us at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corporate@fairerfinance.com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Company name: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Job title: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components of our customer experience ratings: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trust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 and trust and measured by polling respondents through our fieldwork partners. We survey 10,000 respondents twice a year to gather this data. 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 scores are calculated by looking at the proportion of complaints upheld against a provider by the Financial Ombudsman Service (the lower the percentage of complaints upheld, the higher the complaints score).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 scores are based on our assessment of the clarity of providers’ online journeys and documents. The full methodology for transparency in this sector is outlined below.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think any of these criteria are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3100" cy="1075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our criteria for assessing the transparency of a travel insurance policy purchase journey.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820670591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cancellation terms must be made clear.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7545752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administration fee must be clearly displayed and explained.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058710436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If applicable, add-ons must be offered clearly and explained. The customer must be given a clear yes/no choice.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345360264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If applicable, add-ons must be incorporated into the price, either by picking them before the initial quote or by the quote price automatically updating when the add-on is picked.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77012089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Excesses must be itemised and explained.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794685705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policy’s main covers must be clearly displayed and explained.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059117972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It must be made clear whether and which activities are covered.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907312401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It must be made clear that travel to areas where travel is not advised by the FCDO is not covered.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302088593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exclusions relating to personal possessions cover must be clearly displayed.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947087108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It must be made clear that there will be no cancellation cover for anything that could have been pre-known.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799696496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terms of natural disaster cover must be clearly displayed and explained.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520074883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terms of pre-existing medical conditions cover must be clearly displayed and explained.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756204082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terms of notifying the insurer of a change in health (if declared pre-existing medical conditions) must be clearly displayed and explained.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592388837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directory for pre-existing medical conditions cover must be clearly displayed and explained.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939953728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IPID must be easy to access and must contain information on key cover limits.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343412087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 document must be easy to access.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045222200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cannot be opted into data consent.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274985419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Auto-renewal must be clearly explained.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787954728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must use short, simple words. To get full marks, the average word should be five letters or shorter, and there should be no overly complicated words.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00161643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All the text on the website should be in a large enough font to read easily. The highest marks are awarded if the smallest font on the website is at least 18 pixels (or 13.5 point).</w:t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863971801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should be adaptable to mobile devices.</w:t>
      </w:r>
    </w:p>
    <w:p w:rsidR="00000000" w:rsidDel="00000000" w:rsidP="00000000" w:rsidRDefault="00000000" w:rsidRPr="00000000" w14:paraId="0000004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806854291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Web pages are assessed against the World Wide Web Consortium's (W3C) accessibility guidelines (WCAG 2.1 which can be found on 3wc.org) using SortSite (https://www.powermapper.com/products/sortsite/checks/accessibility-checks/). Violations of these guidelines – such as colour contrast issues or the absence of alternative text - cost points. </w:t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477129054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 provider must make their customer service number clear on the contact page and product journey.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141308815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chat directly to a human customer service agent via a webchat.</w:t>
      </w:r>
    </w:p>
    <w:p w:rsidR="00000000" w:rsidDel="00000000" w:rsidP="00000000" w:rsidRDefault="00000000" w:rsidRPr="00000000" w14:paraId="0000004F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065585807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Vulnerable customers must be able to access information on financial support</w:t>
      </w:r>
    </w:p>
    <w:p w:rsidR="00000000" w:rsidDel="00000000" w:rsidP="00000000" w:rsidRDefault="00000000" w:rsidRPr="00000000" w14:paraId="00000050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795767854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put the pronoun of their choosing </w:t>
      </w:r>
    </w:p>
    <w:p w:rsidR="00000000" w:rsidDel="00000000" w:rsidP="00000000" w:rsidRDefault="00000000" w:rsidRPr="00000000" w14:paraId="00000051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908024710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buying insurance via premium finance must have the APR clear and the consequences of missed payments made clear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155258</wp:posOffset>
                </wp:positionV>
                <wp:extent cx="5819775" cy="244594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155258</wp:posOffset>
                </wp:positionV>
                <wp:extent cx="5819775" cy="2445945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9775" cy="24459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criteria we use for assessing a provider’s terms and conditions. 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672403681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number of words should not be excessive.</w:t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767966831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not be too many words per page.</w:t>
      </w:r>
    </w:p>
    <w:p w:rsidR="00000000" w:rsidDel="00000000" w:rsidP="00000000" w:rsidRDefault="00000000" w:rsidRPr="00000000" w14:paraId="0000006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802182066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reading grade should be 8 or lower.</w:t>
      </w:r>
    </w:p>
    <w:p w:rsidR="00000000" w:rsidDel="00000000" w:rsidP="00000000" w:rsidRDefault="00000000" w:rsidRPr="00000000" w14:paraId="0000006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610800784"/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be minimal jargon.</w:t>
      </w:r>
    </w:p>
    <w:p w:rsidR="00000000" w:rsidDel="00000000" w:rsidP="00000000" w:rsidRDefault="00000000" w:rsidRPr="00000000" w14:paraId="0000006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219840357"/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have a well-designed table of contents. </w:t>
      </w:r>
    </w:p>
    <w:p w:rsidR="00000000" w:rsidDel="00000000" w:rsidP="00000000" w:rsidRDefault="00000000" w:rsidRPr="00000000" w14:paraId="0000006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682513885"/>
          <w:tag w:val="goog_rdk_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not use complicated inter-references. </w:t>
      </w:r>
    </w:p>
    <w:p w:rsidR="00000000" w:rsidDel="00000000" w:rsidP="00000000" w:rsidRDefault="00000000" w:rsidRPr="00000000" w14:paraId="00000068">
      <w:pPr>
        <w:shd w:fill="ffffff" w:val="clear"/>
        <w:spacing w:after="0" w:line="240" w:lineRule="auto"/>
        <w:jc w:val="both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2006243696"/>
          <w:tag w:val="goog_rdk_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use colour effectively. </w:t>
      </w:r>
    </w:p>
    <w:p w:rsidR="00000000" w:rsidDel="00000000" w:rsidP="00000000" w:rsidRDefault="00000000" w:rsidRPr="00000000" w14:paraId="0000006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35225963"/>
          <w:tag w:val="goog_rdk_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font size must be sufficiently large.</w:t>
      </w:r>
    </w:p>
    <w:p w:rsidR="00000000" w:rsidDel="00000000" w:rsidP="00000000" w:rsidRDefault="00000000" w:rsidRPr="00000000" w14:paraId="0000006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</w:t>
      </w:r>
    </w:p>
    <w:p w:rsidR="00000000" w:rsidDel="00000000" w:rsidP="00000000" w:rsidRDefault="00000000" w:rsidRPr="00000000" w14:paraId="0000007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any relevant criteria, please explain why in the box below.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-30160</wp:posOffset>
                </wp:positionH>
                <wp:positionV relativeFrom="paragraph">
                  <wp:posOffset>434658</wp:posOffset>
                </wp:positionV>
                <wp:extent cx="5819775" cy="3381375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88500" y="2141700"/>
                          <a:ext cx="57150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-30160</wp:posOffset>
                </wp:positionH>
                <wp:positionV relativeFrom="paragraph">
                  <wp:posOffset>434658</wp:posOffset>
                </wp:positionV>
                <wp:extent cx="5819775" cy="3381375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9775" cy="3381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1463675</wp:posOffset>
          </wp:positionH>
          <wp:positionV relativeFrom="paragraph">
            <wp:posOffset>-388609</wp:posOffset>
          </wp:positionV>
          <wp:extent cx="2804160" cy="789738"/>
          <wp:effectExtent b="0" l="0" r="0" t="0"/>
          <wp:wrapNone/>
          <wp:docPr descr="Graphical user interface, website&#10;&#10;Description automatically generated" id="4" name="image1.png"/>
          <a:graphic>
            <a:graphicData uri="http://schemas.openxmlformats.org/drawingml/2006/picture">
              <pic:pic>
                <pic:nvPicPr>
                  <pic:cNvPr descr="Graphical user interface, website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4160" cy="78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rporate@fairerfinance.com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fHEkYOCr6ejKsVR2rAq2G2xGw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zgAciExVDh4emtnU0ZZR2thNjZXaWNOcUxRaEdkcy0zVHI2R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